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7F" w:rsidRPr="00FB7E7F" w:rsidRDefault="00FB7E7F" w:rsidP="00FB7E7F">
      <w:pPr>
        <w:shd w:val="clear" w:color="auto" w:fill="FFFFFF"/>
        <w:spacing w:before="300" w:after="150" w:line="240" w:lineRule="auto"/>
        <w:outlineLvl w:val="1"/>
        <w:rPr>
          <w:rFonts w:ascii="Helvetica" w:eastAsia="Times New Roman" w:hAnsi="Helvetica" w:cs="Helvetica"/>
          <w:color w:val="3E454C"/>
          <w:sz w:val="47"/>
          <w:szCs w:val="47"/>
          <w:lang w:eastAsia="ru-RU"/>
        </w:rPr>
      </w:pPr>
      <w:r w:rsidRPr="00FB7E7F">
        <w:rPr>
          <w:rFonts w:ascii="Helvetica" w:eastAsia="Times New Roman" w:hAnsi="Helvetica" w:cs="Helvetica"/>
          <w:color w:val="3E454C"/>
          <w:sz w:val="47"/>
          <w:szCs w:val="47"/>
          <w:lang w:eastAsia="ru-RU"/>
        </w:rPr>
        <w:t>ведения о наличии средств обучения и воспитания</w:t>
      </w:r>
    </w:p>
    <w:p w:rsidR="00FB7E7F" w:rsidRPr="00FB7E7F" w:rsidRDefault="00FB7E7F" w:rsidP="00FB7E7F">
      <w:pPr>
        <w:shd w:val="clear" w:color="auto" w:fill="FFFFFF"/>
        <w:spacing w:after="0" w:line="300" w:lineRule="atLeast"/>
        <w:ind w:left="720"/>
        <w:rPr>
          <w:rFonts w:ascii="Helvetica" w:eastAsia="Times New Roman" w:hAnsi="Helvetica" w:cs="Helvetica"/>
          <w:color w:val="999999"/>
          <w:sz w:val="21"/>
          <w:szCs w:val="21"/>
          <w:lang w:eastAsia="ru-RU"/>
        </w:rPr>
      </w:pPr>
      <w:r w:rsidRPr="00FB7E7F">
        <w:rPr>
          <w:rFonts w:ascii="Helvetica" w:eastAsia="Times New Roman" w:hAnsi="Helvetica" w:cs="Helvetica"/>
          <w:color w:val="999999"/>
          <w:sz w:val="21"/>
          <w:szCs w:val="21"/>
          <w:lang w:eastAsia="ru-RU"/>
        </w:rPr>
        <w:t>Раздел: </w:t>
      </w:r>
      <w:hyperlink r:id="rId4" w:history="1">
        <w:r w:rsidRPr="00FB7E7F">
          <w:rPr>
            <w:rFonts w:ascii="Helvetica" w:eastAsia="Times New Roman" w:hAnsi="Helvetica" w:cs="Helvetica"/>
            <w:color w:val="0000FF"/>
            <w:sz w:val="21"/>
            <w:lang w:eastAsia="ru-RU"/>
          </w:rPr>
          <w:t>Материально-техническое обеспечение</w:t>
        </w:r>
      </w:hyperlink>
    </w:p>
    <w:p w:rsidR="00FB7E7F" w:rsidRPr="00FB7E7F" w:rsidRDefault="00FB7E7F" w:rsidP="00FB7E7F">
      <w:pPr>
        <w:shd w:val="clear" w:color="auto" w:fill="FFFFFF"/>
        <w:spacing w:after="0" w:line="300" w:lineRule="atLeast"/>
        <w:ind w:left="720"/>
        <w:rPr>
          <w:rFonts w:ascii="Helvetica" w:eastAsia="Times New Roman" w:hAnsi="Helvetica" w:cs="Helvetica"/>
          <w:color w:val="999999"/>
          <w:sz w:val="21"/>
          <w:szCs w:val="21"/>
          <w:lang w:eastAsia="ru-RU"/>
        </w:rPr>
      </w:pPr>
      <w:r w:rsidRPr="00FB7E7F">
        <w:rPr>
          <w:rFonts w:ascii="Helvetica" w:eastAsia="Times New Roman" w:hAnsi="Helvetica" w:cs="Helvetica"/>
          <w:color w:val="999999"/>
          <w:sz w:val="21"/>
          <w:szCs w:val="21"/>
          <w:lang w:eastAsia="ru-RU"/>
        </w:rPr>
        <w:t> 24 Июль 2015</w:t>
      </w:r>
    </w:p>
    <w:p w:rsidR="00FB7E7F" w:rsidRPr="00FB7E7F" w:rsidRDefault="00FB7E7F" w:rsidP="00FB7E7F">
      <w:pPr>
        <w:shd w:val="clear" w:color="auto" w:fill="FFFFFF"/>
        <w:spacing w:after="150" w:line="240" w:lineRule="auto"/>
        <w:ind w:left="300"/>
        <w:rPr>
          <w:rFonts w:ascii="Helvetica" w:eastAsia="Times New Roman" w:hAnsi="Helvetica" w:cs="Helvetica"/>
          <w:color w:val="3E454C"/>
          <w:sz w:val="21"/>
          <w:szCs w:val="21"/>
          <w:lang w:eastAsia="ru-RU"/>
        </w:rPr>
      </w:pPr>
      <w:r w:rsidRPr="00FB7E7F">
        <w:rPr>
          <w:rFonts w:ascii="Helvetica" w:eastAsia="Times New Roman" w:hAnsi="Helvetica" w:cs="Helvetica"/>
          <w:color w:val="3E454C"/>
          <w:sz w:val="21"/>
          <w:szCs w:val="21"/>
          <w:lang w:eastAsia="ru-RU"/>
        </w:rPr>
        <w:t> </w:t>
      </w:r>
    </w:p>
    <w:p w:rsidR="00FB7E7F" w:rsidRPr="00FB7E7F" w:rsidRDefault="00FB7E7F" w:rsidP="00FB7E7F">
      <w:pPr>
        <w:shd w:val="clear" w:color="auto" w:fill="FFFFFF"/>
        <w:spacing w:after="150" w:line="240" w:lineRule="auto"/>
        <w:ind w:left="300"/>
        <w:jc w:val="center"/>
        <w:rPr>
          <w:rFonts w:ascii="Helvetica" w:eastAsia="Times New Roman" w:hAnsi="Helvetica" w:cs="Helvetica"/>
          <w:color w:val="3E454C"/>
          <w:sz w:val="21"/>
          <w:szCs w:val="21"/>
          <w:lang w:eastAsia="ru-RU"/>
        </w:rPr>
      </w:pPr>
      <w:r w:rsidRPr="00FB7E7F">
        <w:rPr>
          <w:rFonts w:ascii="Helvetica" w:eastAsia="Times New Roman" w:hAnsi="Helvetica" w:cs="Helvetica"/>
          <w:color w:val="3E454C"/>
          <w:sz w:val="21"/>
          <w:szCs w:val="21"/>
          <w:lang w:eastAsia="ru-RU"/>
        </w:rPr>
        <w:t> Воспитательная, внеучебная работа в университете координируется советом по воспитательной работе.</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color w:val="3E454C"/>
          <w:sz w:val="21"/>
          <w:szCs w:val="21"/>
          <w:lang w:eastAsia="ru-RU"/>
        </w:rPr>
        <w:t>Важная и ответственная роль в воспитании студентов отводится кураторам академических групп 1-2 курсов, задачей которых является формирование студенческого коллектива, обеспечение эффективной адаптации студентов в вузе, условий реализации моральной и материальной защищенности студентов, соблюдения их прав и выполнения ими своих обязанностей.</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color w:val="3E454C"/>
          <w:sz w:val="21"/>
          <w:szCs w:val="21"/>
          <w:lang w:eastAsia="ru-RU"/>
        </w:rPr>
        <w:t>Введение института кураторов в практику воспитательной работы проводится с целью использования принципа индивидуального подхода, учитывающего личностные и возрастные особенности каждого студента, для обеспечения качества образовательных услуг.</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color w:val="3E454C"/>
          <w:sz w:val="21"/>
          <w:szCs w:val="21"/>
          <w:lang w:eastAsia="ru-RU"/>
        </w:rPr>
        <w:t>Для кураторов первых курсов ежегодно проводится семинар «Психолого-педагогическая поддержка и организация работы с первокурсниками», на котором обсуждается концепция психолого-педагогического сопровождения студентов первокурсников.</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color w:val="3E454C"/>
          <w:sz w:val="21"/>
          <w:szCs w:val="21"/>
          <w:lang w:eastAsia="ru-RU"/>
        </w:rPr>
        <w:t>Студенческое самоуправление в университете представлено на уровне университета первичной профсоюзной организацией студентов, студенческим советом общежитий, студенческим и спортивным клубами, штабом студенческих отрядов, научными клубами и кружками, </w:t>
      </w:r>
      <w:r w:rsidRPr="00FB7E7F">
        <w:rPr>
          <w:rFonts w:ascii="Helvetica" w:eastAsia="Times New Roman" w:hAnsi="Helvetica" w:cs="Helvetica"/>
          <w:sz w:val="21"/>
          <w:szCs w:val="21"/>
          <w:lang w:eastAsia="ru-RU"/>
        </w:rPr>
        <w:t>студенческими творческими коллективами и студенческими редколлегиями, студенческим оперативным отрядом, молодёжным экологическим агентством «Планета», Студенческой Научной Экологической Гильдией «Гармония», студенческой маркетингово-исследовательской группой «Смиг», штабом волонтёрского движения. Старосты и профгруппорги представляют студенческое самоуправление на уровне студенческих групп.</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В университете создаются и работают различные по направлениям деятельности и организационно-правовым формам студенческие объединения. Созданы и активно работают студенческий туристический клуб «Вертикаль», добровольческое движение «Мы вместе». Участники добровольческого движения работают с воспитанниками детских домов и приютов, оказывают адресную помощь ветеранам, инвалидам, участвуют в акциях и благотворительных марафонах.</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Продолжается работа по созданию творческих коллективов с высоким уровнем исполнительского мастерства и высокой сценической культурой, внедрению новых креативных форм работы и привлечению для участия в них все большего числа студентов, приглашению к работе с творческими коллективами высококвалифицированных специалистов.</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 xml:space="preserve">Отделением гуманитарно-художественной подготовки была продолжена работа по эстетическому, духовно-нравственному, культурному воспитанию студентов аграрного университета. Было проведено более 80 культурно-творческих, спортивно-оздоровительных, профилактических мероприятий. Ежегодно проводятся популярные среди студенческой молодёжи конкурсы «МИСС УНИВЕРСИТЕТ» и «МИСТЕР УНИВЕРСИТЕТ». Событием года становится Бал Отличников. Участниками торжества ежегодно становятся до  700 студентов-отличников аграрного университета. В рамках фестиваля студенческого творчества на всех факультетах проходят конкурсы талантов «Созвездие». Регулярно в течение года в актовом зале университета проходят игры Лиги КВН АГАУ. Традиционным стало праздничное мероприятие «День российского студенчества», или «Татьянин день», где чествовуют лучших студентов вуза, обладателей </w:t>
      </w:r>
      <w:r w:rsidRPr="00FB7E7F">
        <w:rPr>
          <w:rFonts w:ascii="Helvetica" w:eastAsia="Times New Roman" w:hAnsi="Helvetica" w:cs="Helvetica"/>
          <w:sz w:val="21"/>
          <w:szCs w:val="21"/>
          <w:lang w:eastAsia="ru-RU"/>
        </w:rPr>
        <w:lastRenderedPageBreak/>
        <w:t>звания «Студент года», «Староста года», «Татьяна года». Для студентов-первокурсников в сентябре-октябре проводится: специальная профилактическая программа адаптации, спортивный фестиваль «Первый, на старт» и праздник «Посвящение в студенты».</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В университете продолжают работу студенческие творческие коллективы, в которых занимаются более 300 человек: хор народной песни, вокальная студия «Капель», ансамбль «Парадиз», ансамбль народного танца «Контраст», ансамбль современного танца, ансамбль бального танца «Грация», студия «Инфинити», студия моды и пластики «Суаре», лига КВН, театральная студия «Маска», студенческий клуб. Все руководители коллективов имеют высшее профессиональное образование.</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Почти 3000 студентов посетили профессиональные театры г. Барнаула (Краевой театр драмы им. В.М. Шукшина, Молодёжный театр Алтая), концертный зал государственной филармонии Алтая.</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Творческие коллективы университета ведут не только активную концертную деятельность внутри вуза, но и за его пределами – на городских площадках и в районах края.</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Продолжена комплексная программа «Вуз здорового образа жизни». В целях пропаганды здорового образа жизни и профилактики наркомании среди студенческой молодёжи в Алтайском государственном аграрном университете с начала учебного года реализовуется социально-значимый проект «Шаг к здоровью», в рамках которого проведены профилактические информационные семинары со студентами всех первых курсов аграрного университета (более 1000 человек) по правовому, медицинскому просвещению и пропаганде здорового образа жизни. Профилактическая работа проводится в течение учебного года с привлечением специалистов: психологи, наркологи, работники мед.учреждений АКНД, центров АНТИ-СПИД и общественных организаций.</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В рамках программы проводятся: анкетирование студентов вуза по данной проблематике; распространение среди студентов газеты «Тревога» (антинаркотическая тематика); акции «Студенты против пива и курения»; спортивные мероприятия «Большие гонки», «Забег здоровья», «Марафон здоровья», «Студенты за здоровый образ жизни»; развитие волонтёрского движения, в т.ч. для реализации современных молодёжных форм по антинаркотической тематике; конкурсы социальной рекламы и рекламных плакатов, в т.ч. по антинаркотической тематике; круглые столыпо теме «Молодёжь и наркотики», «Здоровый образ жизни – осознанный выбор жизненного пути»; студенческий флеш-моб «Здоровье молодёжи – богатство России».</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Значимым направлением воспитательной работы является гражданско-патриотическое воспитание. Важнейшие события, в результате которых происходили становление, развитие, укрепление Российского государства, науки, техники, культуры изучаются на курсах «Отечественной истории», «Истории культуры России», «Региональной культуры». Будущие специалисты изучают историю хозяйственного освоения региона, развития растениеводства, животноводства, выступают с сообщениями, пишут рефераты об истории своей малой Родины: сел, районов.</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В течение учебного года проводятся мероприятия, направленные на повышение интереса к профессии: встречи с выпускниками, работодателями, успешными бизнесменами и фермерами, презентации факультетов, кафедр, различные социальные программы.</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В университете работают секции спортивного совершенствования для студентов по 18 видам спорта, преподаватели и сотрудники занимаются в группах здоровья. Решением ученого совета учреждены спортивные стипендии имени Т.И. Бородкиной, В.Н. Авдеева, В.В. Кошкина. Ими награждаются по итогам года студенты-спортсмены, показавшие лучшие спортивные результаты в соревнованиях городского, краевого и российского уровней, совмещающие спорт с хорошей учебой. Университетом подготовлено более 500 мастеров и кандидатов в мастера спорта СССР и России, более 2000 перворазрядников.</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Спортсмены АГАУ постоянно являются победителями и призёрами краевой комплексной Универсиады среди вузов. Традиционно сборные команды АГАУ участвуют в городских, краевых турнирах, кубках, первенствах.</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lastRenderedPageBreak/>
        <w:t>Студенты АГАУ работают в 30 отрядах различного направления: строительные, сельскохозяйственные, экологические, сервисные, педагогические, отряды проводников, отряды снежного десанта и другие.</w:t>
      </w:r>
    </w:p>
    <w:p w:rsidR="00FB7E7F" w:rsidRPr="00FB7E7F" w:rsidRDefault="00FB7E7F" w:rsidP="00FB7E7F">
      <w:pPr>
        <w:shd w:val="clear" w:color="auto" w:fill="FFFFFF"/>
        <w:spacing w:after="150" w:line="240" w:lineRule="auto"/>
        <w:ind w:left="300" w:firstLine="567"/>
        <w:jc w:val="both"/>
        <w:rPr>
          <w:rFonts w:ascii="Helvetica" w:eastAsia="Times New Roman" w:hAnsi="Helvetica" w:cs="Helvetica"/>
          <w:color w:val="3E454C"/>
          <w:sz w:val="21"/>
          <w:szCs w:val="21"/>
          <w:lang w:eastAsia="ru-RU"/>
        </w:rPr>
      </w:pPr>
      <w:r w:rsidRPr="00FB7E7F">
        <w:rPr>
          <w:rFonts w:ascii="Helvetica" w:eastAsia="Times New Roman" w:hAnsi="Helvetica" w:cs="Helvetica"/>
          <w:sz w:val="21"/>
          <w:szCs w:val="21"/>
          <w:lang w:eastAsia="ru-RU"/>
        </w:rPr>
        <w:t>В весеннем подготовительном периоде студенческие отряды ежегодно принимают активное участие во всевозможных мероприятиях и акциях: проведение субботников в детских садах, шефская помощь ветеранам, участие в благотворительной акции помощи детским домам «Доброе сердце», работа с трудными подростками и др. </w:t>
      </w:r>
    </w:p>
    <w:p w:rsidR="00FB7E7F" w:rsidRPr="00FB7E7F" w:rsidRDefault="00FB7E7F" w:rsidP="00FB7E7F">
      <w:pPr>
        <w:shd w:val="clear" w:color="auto" w:fill="FFFFFF"/>
        <w:spacing w:after="150" w:line="240" w:lineRule="auto"/>
        <w:ind w:left="300"/>
        <w:rPr>
          <w:rFonts w:ascii="Helvetica" w:eastAsia="Times New Roman" w:hAnsi="Helvetica" w:cs="Helvetica"/>
          <w:color w:val="3E454C"/>
          <w:sz w:val="21"/>
          <w:szCs w:val="21"/>
          <w:lang w:eastAsia="ru-RU"/>
        </w:rPr>
      </w:pPr>
      <w:r w:rsidRPr="00FB7E7F">
        <w:rPr>
          <w:rFonts w:ascii="Helvetica" w:eastAsia="Times New Roman" w:hAnsi="Helvetica" w:cs="Helvetica"/>
          <w:color w:val="3E454C"/>
          <w:sz w:val="21"/>
          <w:szCs w:val="21"/>
          <w:lang w:eastAsia="ru-RU"/>
        </w:rPr>
        <w:t> </w:t>
      </w:r>
    </w:p>
    <w:p w:rsidR="00457B93" w:rsidRDefault="00457B93"/>
    <w:sectPr w:rsidR="00457B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7B93"/>
    <w:rsid w:val="00457B93"/>
    <w:rsid w:val="00803EBC"/>
    <w:rsid w:val="00FB7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B7E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7E7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B7E7F"/>
    <w:rPr>
      <w:color w:val="0000FF"/>
      <w:u w:val="single"/>
    </w:rPr>
  </w:style>
  <w:style w:type="paragraph" w:styleId="a4">
    <w:name w:val="Normal (Web)"/>
    <w:basedOn w:val="a"/>
    <w:uiPriority w:val="99"/>
    <w:semiHidden/>
    <w:unhideWhenUsed/>
    <w:rsid w:val="00FB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FB7E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2035019">
      <w:bodyDiv w:val="1"/>
      <w:marLeft w:val="0"/>
      <w:marRight w:val="0"/>
      <w:marTop w:val="0"/>
      <w:marBottom w:val="0"/>
      <w:divBdr>
        <w:top w:val="none" w:sz="0" w:space="0" w:color="auto"/>
        <w:left w:val="none" w:sz="0" w:space="0" w:color="auto"/>
        <w:bottom w:val="none" w:sz="0" w:space="0" w:color="auto"/>
        <w:right w:val="none" w:sz="0" w:space="0" w:color="auto"/>
      </w:divBdr>
      <w:divsChild>
        <w:div w:id="1305504697">
          <w:marLeft w:val="0"/>
          <w:marRight w:val="0"/>
          <w:marTop w:val="75"/>
          <w:marBottom w:val="0"/>
          <w:divBdr>
            <w:top w:val="none" w:sz="0" w:space="0" w:color="auto"/>
            <w:left w:val="none" w:sz="0" w:space="0" w:color="auto"/>
            <w:bottom w:val="single" w:sz="6" w:space="7" w:color="EEEEEE"/>
            <w:right w:val="none" w:sz="0" w:space="0" w:color="auto"/>
          </w:divBdr>
        </w:div>
        <w:div w:id="97120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au.ru/ru/sveden/obje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3</cp:revision>
  <dcterms:created xsi:type="dcterms:W3CDTF">2018-05-06T21:49:00Z</dcterms:created>
  <dcterms:modified xsi:type="dcterms:W3CDTF">2018-05-06T22:08:00Z</dcterms:modified>
</cp:coreProperties>
</file>